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58" w:rsidRDefault="00AA48F4">
      <w:pPr>
        <w:jc w:val="center"/>
        <w:rPr>
          <w:rFonts w:ascii="华文中宋" w:eastAsia="华文中宋" w:hAnsi="华文中宋"/>
          <w:b/>
          <w:bCs/>
          <w:color w:val="008000"/>
          <w:sz w:val="90"/>
          <w:szCs w:val="90"/>
        </w:rPr>
      </w:pPr>
      <w:r>
        <w:rPr>
          <w:rFonts w:ascii="华文中宋" w:eastAsia="华文中宋" w:hAnsi="华文中宋" w:hint="eastAsia"/>
          <w:b/>
          <w:bCs/>
          <w:color w:val="008000"/>
          <w:sz w:val="90"/>
          <w:szCs w:val="90"/>
        </w:rPr>
        <w:t>晨 读 简 报</w:t>
      </w:r>
    </w:p>
    <w:p w:rsidR="00D94B58" w:rsidRDefault="00AA48F4">
      <w:pPr>
        <w:jc w:val="center"/>
        <w:rPr>
          <w:rFonts w:ascii="华文中宋" w:eastAsia="华文中宋" w:hAnsi="华文中宋"/>
          <w:b/>
          <w:bCs/>
          <w:color w:val="008000"/>
          <w:sz w:val="112"/>
          <w:szCs w:val="11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 xml:space="preserve">2019-2020学年第一学期  </w:t>
      </w:r>
      <w:r w:rsidR="00B721F7">
        <w:rPr>
          <w:rFonts w:ascii="微软雅黑" w:eastAsia="微软雅黑" w:hAnsi="微软雅黑" w:cs="微软雅黑" w:hint="eastAsia"/>
          <w:b/>
          <w:bCs/>
          <w:sz w:val="32"/>
          <w:szCs w:val="32"/>
        </w:rPr>
        <w:t>第三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期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）</w:t>
      </w:r>
    </w:p>
    <w:p w:rsidR="00D94B58" w:rsidRDefault="00AA48F4">
      <w:pPr>
        <w:rPr>
          <w:rFonts w:ascii="华文中宋" w:eastAsia="华文中宋" w:hAnsi="华文中宋"/>
          <w:sz w:val="36"/>
          <w:szCs w:val="36"/>
          <w:u w:val="single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主办：学生工作部（处）           2019年9月</w:t>
      </w:r>
      <w:r w:rsidR="00B721F7"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27</w:t>
      </w: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日</w:t>
      </w:r>
    </w:p>
    <w:p w:rsidR="00D94B58" w:rsidRDefault="00B721F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校园晨读活动第三</w:t>
      </w:r>
      <w:r w:rsidR="00AA48F4">
        <w:rPr>
          <w:rFonts w:ascii="仿宋_GB2312" w:eastAsia="仿宋_GB2312" w:hAnsi="宋体" w:hint="eastAsia"/>
          <w:sz w:val="28"/>
          <w:szCs w:val="28"/>
        </w:rPr>
        <w:t>周三次抽查（9月</w:t>
      </w:r>
      <w:r>
        <w:rPr>
          <w:rFonts w:ascii="仿宋_GB2312" w:eastAsia="仿宋_GB2312" w:hAnsi="宋体" w:hint="eastAsia"/>
          <w:sz w:val="28"/>
          <w:szCs w:val="28"/>
        </w:rPr>
        <w:t>2</w:t>
      </w:r>
      <w:r w:rsidR="00AA48F4">
        <w:rPr>
          <w:rFonts w:ascii="仿宋_GB2312" w:eastAsia="仿宋_GB2312" w:hAnsi="宋体" w:hint="eastAsia"/>
          <w:sz w:val="28"/>
          <w:szCs w:val="28"/>
        </w:rPr>
        <w:t>4日,9月</w:t>
      </w:r>
      <w:r>
        <w:rPr>
          <w:rFonts w:ascii="仿宋_GB2312" w:eastAsia="仿宋_GB2312" w:hAnsi="宋体" w:hint="eastAsia"/>
          <w:sz w:val="28"/>
          <w:szCs w:val="28"/>
        </w:rPr>
        <w:t>2</w:t>
      </w:r>
      <w:r w:rsidR="00AA48F4">
        <w:rPr>
          <w:rFonts w:ascii="仿宋_GB2312" w:eastAsia="仿宋_GB2312" w:hAnsi="宋体" w:hint="eastAsia"/>
          <w:sz w:val="28"/>
          <w:szCs w:val="28"/>
        </w:rPr>
        <w:t>5日，9月</w:t>
      </w:r>
      <w:r>
        <w:rPr>
          <w:rFonts w:ascii="仿宋_GB2312" w:eastAsia="仿宋_GB2312" w:hAnsi="宋体" w:hint="eastAsia"/>
          <w:sz w:val="28"/>
          <w:szCs w:val="28"/>
        </w:rPr>
        <w:t>2</w:t>
      </w:r>
      <w:r w:rsidR="00AA48F4">
        <w:rPr>
          <w:rFonts w:ascii="仿宋_GB2312" w:eastAsia="仿宋_GB2312" w:hAnsi="宋体" w:hint="eastAsia"/>
          <w:sz w:val="28"/>
          <w:szCs w:val="28"/>
        </w:rPr>
        <w:t>6日）情况通报如下：</w:t>
      </w:r>
      <w:bookmarkStart w:id="0" w:name="_GoBack"/>
      <w:bookmarkEnd w:id="0"/>
    </w:p>
    <w:p w:rsidR="00D94B58" w:rsidRDefault="00AA48F4">
      <w:pPr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一、晨读风采</w:t>
      </w:r>
    </w:p>
    <w:p w:rsidR="00B721F7" w:rsidRDefault="00B721F7" w:rsidP="00B721F7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传媒技术学院：</w:t>
      </w:r>
      <w:r w:rsidR="00B45979" w:rsidRPr="00B45979">
        <w:rPr>
          <w:rFonts w:ascii="黑体" w:eastAsia="黑体" w:hAnsi="黑体" w:cs="黑体" w:hint="eastAsia"/>
          <w:sz w:val="28"/>
          <w:szCs w:val="28"/>
        </w:rPr>
        <w:t>集体诵读与单独复习</w:t>
      </w:r>
      <w:r w:rsidR="00B45979">
        <w:rPr>
          <w:rFonts w:ascii="黑体" w:eastAsia="黑体" w:hAnsi="黑体" w:cs="黑体" w:hint="eastAsia"/>
          <w:sz w:val="28"/>
          <w:szCs w:val="28"/>
        </w:rPr>
        <w:t>相结合</w:t>
      </w:r>
    </w:p>
    <w:p w:rsidR="00D94B58" w:rsidRDefault="00B721F7" w:rsidP="00B721F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集体诵读与单独复习是传媒技术学院的晨读方式。前十分钟，学院同学</w:t>
      </w:r>
      <w:r w:rsidR="00B45979">
        <w:rPr>
          <w:rFonts w:ascii="仿宋_GB2312" w:eastAsia="仿宋_GB2312" w:hAnsi="宋体" w:hint="eastAsia"/>
          <w:sz w:val="28"/>
          <w:szCs w:val="28"/>
        </w:rPr>
        <w:t>集体</w:t>
      </w:r>
      <w:r>
        <w:rPr>
          <w:rFonts w:ascii="仿宋_GB2312" w:eastAsia="仿宋_GB2312" w:hAnsi="宋体" w:hint="eastAsia"/>
          <w:sz w:val="28"/>
          <w:szCs w:val="28"/>
        </w:rPr>
        <w:t>诵读英语，</w:t>
      </w:r>
      <w:r w:rsidR="00B45979">
        <w:rPr>
          <w:rFonts w:ascii="仿宋_GB2312" w:eastAsia="仿宋_GB2312" w:hAnsi="宋体" w:hint="eastAsia"/>
          <w:sz w:val="28"/>
          <w:szCs w:val="28"/>
        </w:rPr>
        <w:t>有利于培养同学们的口语表达</w:t>
      </w:r>
      <w:r>
        <w:rPr>
          <w:rFonts w:ascii="仿宋_GB2312" w:eastAsia="仿宋_GB2312" w:hAnsi="宋体" w:hint="eastAsia"/>
          <w:sz w:val="28"/>
          <w:szCs w:val="28"/>
        </w:rPr>
        <w:t>能力。在集体诵读之后，各个专业同学进行单独复习，有利于他们巩固所学的知识，及时找出自身对知识理解的不足。传媒技术学院学子充分利用晨读时光，在复习知识的同时</w:t>
      </w:r>
      <w:r w:rsidRPr="004C15E0">
        <w:rPr>
          <w:rFonts w:ascii="仿宋_GB2312" w:eastAsia="仿宋_GB2312" w:hAnsi="宋体" w:hint="eastAsia"/>
          <w:sz w:val="28"/>
          <w:szCs w:val="28"/>
        </w:rPr>
        <w:t>解除</w:t>
      </w:r>
      <w:r>
        <w:rPr>
          <w:rFonts w:ascii="仿宋_GB2312" w:eastAsia="仿宋_GB2312" w:hAnsi="宋体" w:hint="eastAsia"/>
          <w:sz w:val="28"/>
          <w:szCs w:val="28"/>
        </w:rPr>
        <w:t>他们对知识的困惑的并</w:t>
      </w:r>
      <w:r w:rsidRPr="004C15E0">
        <w:rPr>
          <w:rFonts w:ascii="仿宋_GB2312" w:eastAsia="仿宋_GB2312" w:hAnsi="宋体" w:hint="eastAsia"/>
          <w:sz w:val="28"/>
          <w:szCs w:val="28"/>
        </w:rPr>
        <w:t>深化了对理论知识的认识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D94B58" w:rsidRDefault="00AA48F4">
      <w:pPr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二、晨读通报</w:t>
      </w:r>
    </w:p>
    <w:p w:rsidR="00D94B58" w:rsidRDefault="00AA48F4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（一）、9月</w:t>
      </w:r>
      <w:r w:rsidR="00B721F7">
        <w:rPr>
          <w:rFonts w:ascii="黑体" w:eastAsia="黑体" w:hAnsi="宋体" w:hint="eastAsia"/>
          <w:b/>
          <w:sz w:val="28"/>
          <w:szCs w:val="28"/>
        </w:rPr>
        <w:t>2</w:t>
      </w:r>
      <w:r>
        <w:rPr>
          <w:rFonts w:ascii="黑体" w:eastAsia="黑体" w:hAnsi="宋体" w:hint="eastAsia"/>
          <w:b/>
          <w:sz w:val="28"/>
          <w:szCs w:val="28"/>
        </w:rPr>
        <w:t>4日“校园晨读”检查得分一栏表</w:t>
      </w:r>
    </w:p>
    <w:tbl>
      <w:tblPr>
        <w:tblW w:w="9975" w:type="dxa"/>
        <w:tblInd w:w="-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1134"/>
        <w:gridCol w:w="850"/>
        <w:gridCol w:w="1134"/>
        <w:gridCol w:w="1134"/>
        <w:gridCol w:w="1134"/>
        <w:gridCol w:w="993"/>
        <w:gridCol w:w="708"/>
        <w:gridCol w:w="1560"/>
      </w:tblGrid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晨读人数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加分情况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卫生情况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无</w:t>
            </w:r>
          </w:p>
        </w:tc>
      </w:tr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人数不够</w:t>
            </w:r>
          </w:p>
        </w:tc>
      </w:tr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无人早读</w:t>
            </w:r>
          </w:p>
        </w:tc>
      </w:tr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法学院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 w:rsidP="00671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  <w:r w:rsidR="00671FDE">
              <w:rPr>
                <w:rFonts w:ascii="宋体" w:hAnsi="宋体" w:cs="宋体" w:hint="eastAsia"/>
                <w:color w:val="000000"/>
                <w:kern w:val="0"/>
                <w:sz w:val="24"/>
              </w:rPr>
              <w:t>人早读</w:t>
            </w:r>
          </w:p>
        </w:tc>
      </w:tr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无</w:t>
            </w:r>
          </w:p>
        </w:tc>
      </w:tr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5C20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环规学院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5C20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 w:rsidR="00D94B58">
        <w:trPr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 w:rsidR="00671FDE"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trHeight w:val="23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5C20F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5C20F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5C20F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5C20F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无</w:t>
            </w:r>
          </w:p>
        </w:tc>
      </w:tr>
    </w:tbl>
    <w:p w:rsidR="00D94B58" w:rsidRDefault="00AA48F4">
      <w:pPr>
        <w:widowControl/>
        <w:jc w:val="lef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（二）、9月</w:t>
      </w:r>
      <w:r w:rsidR="00B721F7">
        <w:rPr>
          <w:rFonts w:ascii="黑体" w:eastAsia="黑体" w:hAnsi="宋体" w:hint="eastAsia"/>
          <w:b/>
          <w:sz w:val="28"/>
          <w:szCs w:val="28"/>
        </w:rPr>
        <w:t>2</w:t>
      </w:r>
      <w:r>
        <w:rPr>
          <w:rFonts w:ascii="黑体" w:eastAsia="黑体" w:hAnsi="宋体" w:hint="eastAsia"/>
          <w:b/>
          <w:sz w:val="28"/>
          <w:szCs w:val="28"/>
        </w:rPr>
        <w:t>5日“校园晨读”检查得分一栏表</w:t>
      </w:r>
    </w:p>
    <w:tbl>
      <w:tblPr>
        <w:tblW w:w="24015" w:type="dxa"/>
        <w:tblInd w:w="-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1134"/>
        <w:gridCol w:w="850"/>
        <w:gridCol w:w="1134"/>
        <w:gridCol w:w="1134"/>
        <w:gridCol w:w="1134"/>
        <w:gridCol w:w="993"/>
        <w:gridCol w:w="708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晨读人数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加分情况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卫生情况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人数不够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人数不够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 w:rsidR="00671FDE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 w:rsidR="00671FDE">
              <w:rPr>
                <w:rFonts w:ascii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环规学院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 w:rsidR="00671FDE">
              <w:rPr>
                <w:rFonts w:ascii="宋体" w:hAnsi="宋体" w:cs="宋体" w:hint="eastAsia"/>
                <w:color w:val="000000"/>
                <w:sz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trHeight w:val="23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无</w:t>
            </w:r>
          </w:p>
        </w:tc>
        <w:tc>
          <w:tcPr>
            <w:tcW w:w="1560" w:type="dxa"/>
            <w:vAlign w:val="center"/>
          </w:tcPr>
          <w:p w:rsidR="00D94B58" w:rsidRDefault="00D94B58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:rsidR="00D94B58" w:rsidRDefault="00AA48F4"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1560" w:type="dxa"/>
            <w:vAlign w:val="center"/>
          </w:tcPr>
          <w:p w:rsidR="00D94B58" w:rsidRDefault="00AA48F4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560" w:type="dxa"/>
            <w:vAlign w:val="center"/>
          </w:tcPr>
          <w:p w:rsidR="00D94B58" w:rsidRDefault="00AA48F4"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D94B58" w:rsidRDefault="00AA48F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D94B58" w:rsidRDefault="00AA48F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</w:tcPr>
          <w:p w:rsidR="00D94B58" w:rsidRDefault="00AA48F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D94B58" w:rsidRDefault="00AA48F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</w:tcPr>
          <w:p w:rsidR="00D94B58" w:rsidRDefault="00D94B58">
            <w:pPr>
              <w:widowControl/>
              <w:jc w:val="left"/>
            </w:pPr>
          </w:p>
        </w:tc>
      </w:tr>
    </w:tbl>
    <w:p w:rsidR="00D94B58" w:rsidRDefault="00D94B58">
      <w:pPr>
        <w:rPr>
          <w:rFonts w:ascii="黑体" w:eastAsia="黑体" w:hAnsi="宋体"/>
          <w:b/>
          <w:sz w:val="28"/>
          <w:szCs w:val="28"/>
        </w:rPr>
      </w:pPr>
    </w:p>
    <w:p w:rsidR="00D94B58" w:rsidRDefault="00AA48F4">
      <w:pPr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（三）、9月</w:t>
      </w:r>
      <w:r w:rsidR="00B721F7">
        <w:rPr>
          <w:rFonts w:ascii="黑体" w:eastAsia="黑体" w:hAnsi="宋体" w:hint="eastAsia"/>
          <w:b/>
          <w:sz w:val="28"/>
          <w:szCs w:val="28"/>
        </w:rPr>
        <w:t>2</w:t>
      </w:r>
      <w:r>
        <w:rPr>
          <w:rFonts w:ascii="黑体" w:eastAsia="黑体" w:hAnsi="宋体" w:hint="eastAsia"/>
          <w:b/>
          <w:sz w:val="28"/>
          <w:szCs w:val="28"/>
        </w:rPr>
        <w:t>6日“校园晨读”检查得分一栏表</w:t>
      </w:r>
    </w:p>
    <w:tbl>
      <w:tblPr>
        <w:tblW w:w="24015" w:type="dxa"/>
        <w:tblInd w:w="-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1134"/>
        <w:gridCol w:w="850"/>
        <w:gridCol w:w="1134"/>
        <w:gridCol w:w="1134"/>
        <w:gridCol w:w="1134"/>
        <w:gridCol w:w="993"/>
        <w:gridCol w:w="708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晨读人数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加分情况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卫生情况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人数不够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B72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无人早读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</w:pPr>
            <w: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 w:rsidR="00671FDE"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B721F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C414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环规学院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gridAfter w:val="9"/>
          <w:wAfter w:w="14040" w:type="dxa"/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94B58">
        <w:trPr>
          <w:trHeight w:val="23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560" w:type="dxa"/>
            <w:vAlign w:val="center"/>
          </w:tcPr>
          <w:p w:rsidR="00D94B58" w:rsidRDefault="00D94B58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:rsidR="00D94B58" w:rsidRDefault="00AA48F4"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1560" w:type="dxa"/>
            <w:vAlign w:val="center"/>
          </w:tcPr>
          <w:p w:rsidR="00D94B58" w:rsidRDefault="00AA48F4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560" w:type="dxa"/>
            <w:vAlign w:val="center"/>
          </w:tcPr>
          <w:p w:rsidR="00D94B58" w:rsidRDefault="00AA48F4"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D94B58" w:rsidRDefault="00AA48F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D94B58" w:rsidRDefault="00AA48F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</w:tcPr>
          <w:p w:rsidR="00D94B58" w:rsidRDefault="00AA48F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D94B58" w:rsidRDefault="00AA48F4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</w:tcPr>
          <w:p w:rsidR="00D94B58" w:rsidRDefault="00D94B58">
            <w:pPr>
              <w:widowControl/>
              <w:jc w:val="left"/>
            </w:pPr>
          </w:p>
        </w:tc>
      </w:tr>
      <w:tr w:rsidR="00D94B58">
        <w:trPr>
          <w:trHeight w:val="23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671F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58" w:rsidRDefault="00AA48F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1560" w:type="dxa"/>
            <w:vAlign w:val="center"/>
          </w:tcPr>
          <w:p w:rsidR="00D94B58" w:rsidRDefault="00D94B58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:rsidR="00D94B58" w:rsidRDefault="00D94B5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94B58" w:rsidRDefault="00D94B58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94B58" w:rsidRDefault="00D94B5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94B58" w:rsidRDefault="00D94B58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94B58" w:rsidRDefault="00D94B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 w:rsidR="00D94B58" w:rsidRDefault="00D94B58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94B58" w:rsidRDefault="00D94B58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D94B58" w:rsidRDefault="00D94B58">
            <w:pPr>
              <w:widowControl/>
              <w:jc w:val="left"/>
            </w:pPr>
          </w:p>
        </w:tc>
      </w:tr>
    </w:tbl>
    <w:p w:rsidR="00D94B58" w:rsidRDefault="00D94B58">
      <w:pPr>
        <w:widowControl/>
        <w:jc w:val="left"/>
      </w:pPr>
    </w:p>
    <w:sectPr w:rsidR="00D94B58" w:rsidSect="00445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64B" w:rsidRDefault="00DB664B" w:rsidP="00B45979">
      <w:r>
        <w:separator/>
      </w:r>
    </w:p>
  </w:endnote>
  <w:endnote w:type="continuationSeparator" w:id="1">
    <w:p w:rsidR="00DB664B" w:rsidRDefault="00DB664B" w:rsidP="00B45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64B" w:rsidRDefault="00DB664B" w:rsidP="00B45979">
      <w:r>
        <w:separator/>
      </w:r>
    </w:p>
  </w:footnote>
  <w:footnote w:type="continuationSeparator" w:id="1">
    <w:p w:rsidR="00DB664B" w:rsidRDefault="00DB664B" w:rsidP="00B45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B58"/>
    <w:rsid w:val="00445CC6"/>
    <w:rsid w:val="005C20FF"/>
    <w:rsid w:val="00671FDE"/>
    <w:rsid w:val="00AA48F4"/>
    <w:rsid w:val="00B45979"/>
    <w:rsid w:val="00B721F7"/>
    <w:rsid w:val="00C41426"/>
    <w:rsid w:val="00D94B58"/>
    <w:rsid w:val="00DB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C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45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45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45CC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45CC6"/>
    <w:rPr>
      <w:sz w:val="18"/>
      <w:szCs w:val="18"/>
    </w:rPr>
  </w:style>
  <w:style w:type="paragraph" w:styleId="a5">
    <w:name w:val="List Paragraph"/>
    <w:basedOn w:val="a"/>
    <w:uiPriority w:val="34"/>
    <w:qFormat/>
    <w:rsid w:val="00445C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B972BC3-0336-4A9B-87C2-82E921FD8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张肖骏</dc:creator>
  <cp:lastModifiedBy>xb21cn</cp:lastModifiedBy>
  <cp:revision>3</cp:revision>
  <dcterms:created xsi:type="dcterms:W3CDTF">2019-09-27T14:01:00Z</dcterms:created>
  <dcterms:modified xsi:type="dcterms:W3CDTF">2019-10-17T09:04:00Z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