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C5" w:rsidRDefault="005F7708">
      <w:pPr>
        <w:jc w:val="center"/>
        <w:rPr>
          <w:rFonts w:ascii="华文中宋" w:eastAsia="华文中宋" w:hAnsi="华文中宋"/>
          <w:b/>
          <w:bCs/>
          <w:color w:val="008000"/>
          <w:sz w:val="90"/>
          <w:szCs w:val="90"/>
        </w:rPr>
      </w:pP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晨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 xml:space="preserve"> 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读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 xml:space="preserve"> 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简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 xml:space="preserve"> 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报</w:t>
      </w:r>
    </w:p>
    <w:p w:rsidR="00B207C5" w:rsidRDefault="005F7708">
      <w:pPr>
        <w:jc w:val="center"/>
        <w:rPr>
          <w:rFonts w:ascii="华文中宋" w:eastAsia="华文中宋" w:hAnsi="华文中宋"/>
          <w:b/>
          <w:bCs/>
          <w:color w:val="008000"/>
          <w:sz w:val="112"/>
          <w:szCs w:val="11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201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8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-201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学年第二学期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第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四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B207C5" w:rsidRDefault="005F7708">
      <w:pPr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主办：学生工作部（处）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 xml:space="preserve">           2019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月</w:t>
      </w:r>
      <w:r>
        <w:rPr>
          <w:rFonts w:ascii="黑体" w:eastAsia="黑体" w:hAnsi="黑体" w:cs="黑体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17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日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5F7708" w:rsidRDefault="005F7708">
      <w:pPr>
        <w:rPr>
          <w:rFonts w:ascii="黑体" w:eastAsia="黑体" w:hAnsi="宋体" w:hint="eastAsia"/>
          <w:b/>
          <w:sz w:val="28"/>
          <w:szCs w:val="28"/>
        </w:rPr>
      </w:pPr>
    </w:p>
    <w:p w:rsidR="00B207C5" w:rsidRDefault="005F7708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一、晨读情况通报</w:t>
      </w:r>
    </w:p>
    <w:p w:rsidR="00B207C5" w:rsidRDefault="005F770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校园晨读活动第</w:t>
      </w:r>
      <w:r>
        <w:rPr>
          <w:rFonts w:ascii="仿宋_GB2312" w:eastAsia="仿宋_GB2312" w:hAnsi="宋体" w:hint="eastAsia"/>
          <w:sz w:val="28"/>
          <w:szCs w:val="28"/>
        </w:rPr>
        <w:t>六</w:t>
      </w:r>
      <w:r>
        <w:rPr>
          <w:rFonts w:ascii="仿宋_GB2312" w:eastAsia="仿宋_GB2312" w:hAnsi="宋体" w:hint="eastAsia"/>
          <w:sz w:val="28"/>
          <w:szCs w:val="28"/>
        </w:rPr>
        <w:t>周</w:t>
      </w:r>
      <w:r>
        <w:rPr>
          <w:rFonts w:ascii="仿宋_GB2312" w:eastAsia="仿宋_GB2312" w:hAnsi="宋体" w:hint="eastAsia"/>
          <w:sz w:val="28"/>
          <w:szCs w:val="28"/>
        </w:rPr>
        <w:t>三</w:t>
      </w:r>
      <w:r>
        <w:rPr>
          <w:rFonts w:ascii="仿宋_GB2312" w:eastAsia="仿宋_GB2312" w:hAnsi="宋体" w:hint="eastAsia"/>
          <w:sz w:val="28"/>
          <w:szCs w:val="28"/>
        </w:rPr>
        <w:t>次抽查（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,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日，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日）情况通报如下：</w:t>
      </w:r>
    </w:p>
    <w:p w:rsidR="00B207C5" w:rsidRDefault="005F7708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农</w:t>
      </w:r>
      <w:r>
        <w:rPr>
          <w:rFonts w:ascii="黑体" w:eastAsia="黑体" w:hAnsi="黑体" w:cs="黑体" w:hint="eastAsia"/>
          <w:sz w:val="28"/>
          <w:szCs w:val="28"/>
        </w:rPr>
        <w:t>学院</w:t>
      </w:r>
      <w:r>
        <w:rPr>
          <w:rFonts w:ascii="黑体" w:eastAsia="黑体" w:hAnsi="黑体" w:cs="黑体"/>
          <w:sz w:val="28"/>
          <w:szCs w:val="28"/>
        </w:rPr>
        <w:t>:</w:t>
      </w:r>
      <w:r>
        <w:rPr>
          <w:rFonts w:ascii="黑体" w:eastAsia="黑体" w:hAnsi="黑体" w:cs="黑体" w:hint="eastAsia"/>
          <w:sz w:val="28"/>
          <w:szCs w:val="28"/>
        </w:rPr>
        <w:t>集体朗诵，分组</w:t>
      </w:r>
      <w:r>
        <w:rPr>
          <w:rFonts w:ascii="黑体" w:eastAsia="黑体" w:hAnsi="黑体" w:cs="黑体" w:hint="eastAsia"/>
          <w:sz w:val="28"/>
          <w:szCs w:val="28"/>
        </w:rPr>
        <w:t>背诵</w:t>
      </w:r>
    </w:p>
    <w:p w:rsidR="00B207C5" w:rsidRDefault="005F7708">
      <w:pPr>
        <w:ind w:firstLineChars="200" w:firstLine="560"/>
        <w:rPr>
          <w:rFonts w:ascii="黑体" w:eastAsia="仿宋_GB2312" w:hAnsi="黑体" w:cs="黑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农</w:t>
      </w:r>
      <w:r>
        <w:rPr>
          <w:rFonts w:ascii="仿宋_GB2312" w:eastAsia="仿宋_GB2312" w:hAnsi="宋体"/>
          <w:sz w:val="28"/>
          <w:szCs w:val="28"/>
        </w:rPr>
        <w:t>学院事先以</w:t>
      </w:r>
      <w:r>
        <w:rPr>
          <w:rFonts w:ascii="仿宋_GB2312" w:eastAsia="仿宋_GB2312" w:hAnsi="宋体" w:hint="eastAsia"/>
          <w:sz w:val="28"/>
          <w:szCs w:val="28"/>
        </w:rPr>
        <w:t>班级</w:t>
      </w:r>
      <w:r>
        <w:rPr>
          <w:rFonts w:ascii="仿宋_GB2312" w:eastAsia="仿宋_GB2312" w:hAnsi="宋体"/>
          <w:sz w:val="28"/>
          <w:szCs w:val="28"/>
        </w:rPr>
        <w:t>为单位对同学们进行合理分组。在晨读期间，</w:t>
      </w:r>
      <w:r>
        <w:rPr>
          <w:rFonts w:ascii="仿宋_GB2312" w:eastAsia="仿宋_GB2312" w:hAnsi="宋体" w:hint="eastAsia"/>
          <w:sz w:val="28"/>
          <w:szCs w:val="28"/>
        </w:rPr>
        <w:t>先让各组集体朗诵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分钟，然后各组成员分开在背诵或者互相提问</w:t>
      </w:r>
      <w:r>
        <w:rPr>
          <w:rFonts w:ascii="仿宋_GB2312" w:eastAsia="仿宋_GB2312" w:hAnsi="宋体" w:hint="eastAsia"/>
          <w:sz w:val="28"/>
          <w:szCs w:val="28"/>
        </w:rPr>
        <w:t>教材</w:t>
      </w:r>
      <w:r>
        <w:rPr>
          <w:rFonts w:ascii="仿宋_GB2312" w:eastAsia="仿宋_GB2312" w:hAnsi="宋体" w:hint="eastAsia"/>
          <w:sz w:val="28"/>
          <w:szCs w:val="28"/>
        </w:rPr>
        <w:t>知识</w:t>
      </w:r>
      <w:r>
        <w:rPr>
          <w:rFonts w:ascii="仿宋_GB2312" w:eastAsia="仿宋_GB2312" w:hAnsi="宋体"/>
          <w:sz w:val="28"/>
          <w:szCs w:val="28"/>
        </w:rPr>
        <w:t>，并通过此方法来提</w:t>
      </w:r>
      <w:r>
        <w:rPr>
          <w:rFonts w:ascii="仿宋_GB2312" w:eastAsia="仿宋_GB2312" w:hAnsi="宋体" w:hint="eastAsia"/>
          <w:sz w:val="28"/>
          <w:szCs w:val="28"/>
        </w:rPr>
        <w:t>高自己的知识</w:t>
      </w:r>
      <w:r>
        <w:rPr>
          <w:rFonts w:ascii="仿宋_GB2312" w:eastAsia="仿宋_GB2312" w:hAnsi="宋体"/>
          <w:sz w:val="28"/>
          <w:szCs w:val="28"/>
        </w:rPr>
        <w:t>，从而激发对</w:t>
      </w:r>
      <w:r>
        <w:rPr>
          <w:rFonts w:ascii="仿宋_GB2312" w:eastAsia="仿宋_GB2312" w:hAnsi="宋体" w:hint="eastAsia"/>
          <w:sz w:val="28"/>
          <w:szCs w:val="28"/>
        </w:rPr>
        <w:t>阅读</w:t>
      </w:r>
      <w:bookmarkStart w:id="0" w:name="_GoBack"/>
      <w:bookmarkEnd w:id="0"/>
      <w:r>
        <w:rPr>
          <w:rFonts w:ascii="仿宋_GB2312" w:eastAsia="仿宋_GB2312" w:hAnsi="宋体"/>
          <w:sz w:val="28"/>
          <w:szCs w:val="28"/>
        </w:rPr>
        <w:t>的兴趣。同学们在学习新</w:t>
      </w:r>
      <w:r>
        <w:rPr>
          <w:rFonts w:ascii="仿宋_GB2312" w:eastAsia="仿宋_GB2312" w:hAnsi="宋体" w:hint="eastAsia"/>
          <w:sz w:val="28"/>
          <w:szCs w:val="28"/>
        </w:rPr>
        <w:t>知识</w:t>
      </w:r>
      <w:r>
        <w:rPr>
          <w:rFonts w:ascii="仿宋_GB2312" w:eastAsia="仿宋_GB2312" w:hAnsi="宋体"/>
          <w:sz w:val="28"/>
          <w:szCs w:val="28"/>
        </w:rPr>
        <w:t>的同时</w:t>
      </w:r>
      <w:r>
        <w:rPr>
          <w:rFonts w:ascii="仿宋_GB2312" w:eastAsia="仿宋_GB2312" w:hAnsi="宋体" w:hint="eastAsia"/>
          <w:sz w:val="28"/>
          <w:szCs w:val="28"/>
        </w:rPr>
        <w:t>加深了认识和感悟</w:t>
      </w:r>
      <w:r>
        <w:rPr>
          <w:rFonts w:ascii="仿宋_GB2312" w:eastAsia="仿宋_GB2312" w:hAnsi="宋体"/>
          <w:sz w:val="28"/>
          <w:szCs w:val="28"/>
        </w:rPr>
        <w:t>。通过采取</w:t>
      </w:r>
      <w:r>
        <w:rPr>
          <w:rFonts w:ascii="仿宋_GB2312" w:eastAsia="仿宋_GB2312" w:hAnsi="宋体" w:hint="eastAsia"/>
          <w:sz w:val="28"/>
          <w:szCs w:val="28"/>
        </w:rPr>
        <w:t>自由背诵提问</w:t>
      </w:r>
      <w:r>
        <w:rPr>
          <w:rFonts w:ascii="仿宋_GB2312" w:eastAsia="仿宋_GB2312" w:hAnsi="宋体"/>
          <w:sz w:val="28"/>
          <w:szCs w:val="28"/>
        </w:rPr>
        <w:t>的形式，同学们在轻松愉悦的氛围中</w:t>
      </w:r>
      <w:r>
        <w:rPr>
          <w:rFonts w:ascii="仿宋_GB2312" w:eastAsia="仿宋_GB2312" w:hAnsi="宋体" w:hint="eastAsia"/>
          <w:sz w:val="28"/>
          <w:szCs w:val="28"/>
        </w:rPr>
        <w:t>学习</w:t>
      </w:r>
      <w:r>
        <w:rPr>
          <w:rFonts w:ascii="仿宋_GB2312" w:eastAsia="仿宋_GB2312" w:hAnsi="宋体"/>
          <w:sz w:val="28"/>
          <w:szCs w:val="28"/>
        </w:rPr>
        <w:t>，有利于同学们</w:t>
      </w:r>
      <w:r>
        <w:rPr>
          <w:rFonts w:ascii="仿宋_GB2312" w:eastAsia="仿宋_GB2312" w:hAnsi="宋体" w:hint="eastAsia"/>
          <w:sz w:val="28"/>
          <w:szCs w:val="28"/>
        </w:rPr>
        <w:t>查缺补漏</w:t>
      </w:r>
      <w:r>
        <w:rPr>
          <w:rFonts w:ascii="仿宋_GB2312" w:eastAsia="仿宋_GB2312" w:hAnsi="宋体"/>
          <w:sz w:val="28"/>
          <w:szCs w:val="28"/>
        </w:rPr>
        <w:t>，及时弥补自身的不足！</w:t>
      </w:r>
    </w:p>
    <w:p w:rsidR="00B207C5" w:rsidRDefault="005F7708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（一）、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月</w:t>
      </w:r>
      <w:r>
        <w:rPr>
          <w:rFonts w:ascii="黑体" w:eastAsia="黑体" w:hAnsi="宋体" w:hint="eastAsia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5</w:t>
      </w:r>
      <w:r>
        <w:rPr>
          <w:rFonts w:ascii="黑体" w:eastAsia="黑体" w:hAnsi="宋体" w:hint="eastAsia"/>
          <w:b/>
          <w:sz w:val="28"/>
          <w:szCs w:val="28"/>
        </w:rPr>
        <w:t>日“校园晨读”检查得分一栏表</w:t>
      </w:r>
    </w:p>
    <w:tbl>
      <w:tblPr>
        <w:tblW w:w="997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</w:tblGrid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B207C5">
        <w:trPr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B207C5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</w:tbl>
    <w:p w:rsidR="00B207C5" w:rsidRDefault="005F7708">
      <w:pPr>
        <w:widowControl/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（二）、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月</w:t>
      </w:r>
      <w:r>
        <w:rPr>
          <w:rFonts w:ascii="黑体" w:eastAsia="黑体" w:hAnsi="宋体" w:hint="eastAsia"/>
          <w:b/>
          <w:sz w:val="28"/>
          <w:szCs w:val="28"/>
        </w:rPr>
        <w:t>16</w:t>
      </w:r>
      <w:r>
        <w:rPr>
          <w:rFonts w:ascii="黑体" w:eastAsia="黑体" w:hAnsi="宋体" w:hint="eastAsia"/>
          <w:b/>
          <w:sz w:val="28"/>
          <w:szCs w:val="28"/>
        </w:rPr>
        <w:t>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B207C5" w:rsidRDefault="00B207C5">
            <w:pPr>
              <w:widowControl/>
              <w:jc w:val="left"/>
            </w:pPr>
          </w:p>
        </w:tc>
      </w:tr>
    </w:tbl>
    <w:p w:rsidR="00B207C5" w:rsidRDefault="00B207C5">
      <w:pPr>
        <w:rPr>
          <w:rFonts w:ascii="黑体" w:eastAsia="黑体" w:hAnsi="宋体"/>
          <w:b/>
          <w:sz w:val="28"/>
          <w:szCs w:val="28"/>
        </w:rPr>
      </w:pPr>
    </w:p>
    <w:p w:rsidR="00B207C5" w:rsidRDefault="005F7708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（三）、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月</w:t>
      </w:r>
      <w:r>
        <w:rPr>
          <w:rFonts w:ascii="黑体" w:eastAsia="黑体" w:hAnsi="宋体" w:hint="eastAsia"/>
          <w:b/>
          <w:sz w:val="28"/>
          <w:szCs w:val="28"/>
        </w:rPr>
        <w:t>17</w:t>
      </w:r>
      <w:r>
        <w:rPr>
          <w:rFonts w:ascii="黑体" w:eastAsia="黑体" w:hAnsi="宋体" w:hint="eastAsia"/>
          <w:b/>
          <w:sz w:val="28"/>
          <w:szCs w:val="28"/>
        </w:rPr>
        <w:t>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B207C5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B207C5" w:rsidRDefault="005F770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B207C5" w:rsidRDefault="00B207C5">
            <w:pPr>
              <w:widowControl/>
              <w:jc w:val="left"/>
            </w:pPr>
          </w:p>
        </w:tc>
      </w:tr>
      <w:tr w:rsidR="00B207C5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5" w:rsidRDefault="005F77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B207C5" w:rsidRDefault="00B207C5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07C5" w:rsidRDefault="00B207C5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B207C5" w:rsidRDefault="00B207C5">
            <w:pPr>
              <w:widowControl/>
              <w:jc w:val="left"/>
            </w:pPr>
          </w:p>
        </w:tc>
      </w:tr>
    </w:tbl>
    <w:p w:rsidR="00B207C5" w:rsidRDefault="00B207C5">
      <w:pPr>
        <w:widowControl/>
        <w:jc w:val="left"/>
      </w:pPr>
    </w:p>
    <w:sectPr w:rsidR="00B207C5" w:rsidSect="00B2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207C5"/>
    <w:rsid w:val="005F7708"/>
    <w:rsid w:val="00B2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2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207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07C5"/>
    <w:rPr>
      <w:sz w:val="18"/>
      <w:szCs w:val="18"/>
    </w:rPr>
  </w:style>
  <w:style w:type="paragraph" w:styleId="a5">
    <w:name w:val="List Paragraph"/>
    <w:basedOn w:val="a"/>
    <w:uiPriority w:val="34"/>
    <w:qFormat/>
    <w:rsid w:val="00B207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EF1AC-891D-4657-B684-FC53D7C2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张肖骏</dc:creator>
  <cp:lastModifiedBy>Administrator</cp:lastModifiedBy>
  <cp:revision>5</cp:revision>
  <dcterms:created xsi:type="dcterms:W3CDTF">2019-03-15T16:40:00Z</dcterms:created>
  <dcterms:modified xsi:type="dcterms:W3CDTF">2019-04-24T02:07:00Z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